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F7C1" w14:textId="25971CEB" w:rsidR="00E22479" w:rsidRPr="00D372F9" w:rsidRDefault="007C1BD7" w:rsidP="00786749">
      <w:pPr>
        <w:spacing w:line="560" w:lineRule="exact"/>
        <w:jc w:val="center"/>
        <w:rPr>
          <w:rFonts w:ascii="Century Gothic" w:eastAsia="游ゴシック Medium" w:hAnsi="Century Gothic"/>
          <w:b/>
          <w:bCs/>
          <w:sz w:val="36"/>
          <w:szCs w:val="36"/>
        </w:rPr>
      </w:pPr>
      <w:r w:rsidRPr="00D372F9">
        <w:rPr>
          <w:rFonts w:ascii="Century Gothic" w:eastAsia="游ゴシック Medium" w:hAnsi="Century Gothic"/>
          <w:b/>
          <w:bCs/>
          <w:sz w:val="36"/>
          <w:szCs w:val="36"/>
        </w:rPr>
        <w:t>New Rays</w:t>
      </w:r>
      <w:r w:rsidR="00786749" w:rsidRPr="00D372F9">
        <w:rPr>
          <w:rFonts w:ascii="Century Gothic" w:eastAsia="游ゴシック Medium" w:hAnsi="Century Gothic"/>
          <w:b/>
          <w:bCs/>
          <w:sz w:val="36"/>
          <w:szCs w:val="36"/>
        </w:rPr>
        <w:t xml:space="preserve"> English </w:t>
      </w:r>
      <w:r w:rsidRPr="00D372F9">
        <w:rPr>
          <w:rFonts w:ascii="Century Gothic" w:eastAsia="游ゴシック Medium" w:hAnsi="Century Gothic"/>
          <w:b/>
          <w:bCs/>
          <w:sz w:val="36"/>
          <w:szCs w:val="36"/>
        </w:rPr>
        <w:t>Communication</w:t>
      </w:r>
      <w:r w:rsidR="001C6474">
        <w:rPr>
          <w:rFonts w:ascii="Century Gothic" w:eastAsia="游ゴシック Medium" w:hAnsi="Century Gothic" w:hint="eastAsia"/>
          <w:b/>
          <w:bCs/>
          <w:sz w:val="36"/>
          <w:szCs w:val="36"/>
        </w:rPr>
        <w:t>Ⅱ</w:t>
      </w:r>
      <w:r w:rsidR="00D372F9" w:rsidRPr="00D372F9">
        <w:rPr>
          <w:rFonts w:ascii="Century Gothic" w:eastAsia="游ゴシック Medium" w:hAnsi="Century Gothic" w:hint="eastAsia"/>
          <w:b/>
          <w:bCs/>
          <w:sz w:val="36"/>
          <w:szCs w:val="36"/>
        </w:rPr>
        <w:t xml:space="preserve"> Revised Edition</w:t>
      </w:r>
    </w:p>
    <w:p w14:paraId="30EB1107" w14:textId="2070CA20" w:rsidR="00786749" w:rsidRPr="00D372F9" w:rsidRDefault="00786749" w:rsidP="00786749">
      <w:pPr>
        <w:spacing w:after="240" w:line="560" w:lineRule="exact"/>
        <w:jc w:val="center"/>
        <w:rPr>
          <w:rFonts w:ascii="Century Gothic" w:eastAsia="游ゴシック Medium" w:hAnsi="Century Gothic"/>
          <w:b/>
          <w:bCs/>
          <w:sz w:val="28"/>
          <w:szCs w:val="28"/>
        </w:rPr>
      </w:pPr>
      <w:r w:rsidRPr="00D372F9">
        <w:rPr>
          <w:rFonts w:ascii="Century Gothic" w:eastAsia="游ゴシック Medium" w:hAnsi="Century Gothic" w:hint="eastAsia"/>
          <w:b/>
          <w:bCs/>
          <w:sz w:val="28"/>
          <w:szCs w:val="28"/>
        </w:rPr>
        <w:t>ご採用検討時の観点および内容の特色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971"/>
        <w:gridCol w:w="5534"/>
      </w:tblGrid>
      <w:tr w:rsidR="00B34C72" w:rsidRPr="0010342D" w14:paraId="6297730F" w14:textId="77777777" w:rsidTr="0010342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0D77" w14:textId="77777777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sz w:val="19"/>
                <w:szCs w:val="19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08345" w14:textId="335F48A4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観点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48BD6A" w14:textId="1E302AA9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内容の特色</w:t>
            </w:r>
          </w:p>
        </w:tc>
      </w:tr>
      <w:tr w:rsidR="00B34C72" w:rsidRPr="0010342D" w14:paraId="744ECFE2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0F1" w14:textId="297FA4DC" w:rsidR="00592EAB" w:rsidRPr="0010342D" w:rsidRDefault="00592EAB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6725E156" w14:textId="7C5ED8BF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B77438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選択・扱い</w:t>
            </w:r>
          </w:p>
        </w:tc>
        <w:tc>
          <w:tcPr>
            <w:tcW w:w="2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DC5779" w14:textId="0A7C201D" w:rsidR="00B34C72" w:rsidRPr="0010342D" w:rsidRDefault="00B34C72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■学習指導要領に基づき，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英語コミュニケーション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Ⅱ</w:t>
            </w: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で到達すべき</w:t>
            </w:r>
            <w:r w:rsidR="00B77438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目標を実現するために，適切なトピック・内容を過不足なく取り上げている。</w:t>
            </w:r>
          </w:p>
          <w:p w14:paraId="334286BF" w14:textId="5DCA6E2A" w:rsidR="00786749" w:rsidRPr="0010342D" w:rsidRDefault="00B77438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592EAB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生徒が学習する上で支障のないよう，基本的事項を示すなど，適切な配慮がなされている。</w:t>
            </w:r>
          </w:p>
        </w:tc>
        <w:tc>
          <w:tcPr>
            <w:tcW w:w="55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5E30CB" w14:textId="460461E4" w:rsidR="00B06773" w:rsidRDefault="00E83B6A" w:rsidP="00A107E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・生徒にとって身近な話題（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文房具，塩，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スマートフォン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など）から社会的な話題</w:t>
            </w:r>
            <w:r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（</w:t>
            </w:r>
            <w:r w:rsidR="001C6474" w:rsidRPr="001C6474">
              <w:rPr>
                <w:rFonts w:ascii="Century Gothic" w:eastAsia="游ゴシック Medium" w:hAnsi="Century Gothic"/>
                <w:sz w:val="19"/>
                <w:szCs w:val="19"/>
              </w:rPr>
              <w:t>データ科学，人権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，環境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など）までを取り上げ，生徒が主体的に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4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技能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5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領域の活動をバランスよく行えるよう配慮されている。</w:t>
            </w:r>
          </w:p>
          <w:p w14:paraId="315FFAB7" w14:textId="77777777" w:rsidR="00A107ED" w:rsidRDefault="00791E5C" w:rsidP="00A107E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・１レッスンが４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パート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で構成されており，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テンポよく学習することができる。また，課末には通読用英文を掲載しており，音読や速読の活動を行うことができる。</w:t>
            </w:r>
          </w:p>
          <w:p w14:paraId="1A381373" w14:textId="1D264CC3" w:rsidR="00791E5C" w:rsidRPr="00791E5C" w:rsidRDefault="00791E5C" w:rsidP="00A107E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課末の活動では，丁寧に段階を踏んだ形式を取り入れるなど，無理なく活動が行えるよう，配慮されている。</w:t>
            </w:r>
          </w:p>
        </w:tc>
      </w:tr>
      <w:tr w:rsidR="00786749" w:rsidRPr="0010342D" w14:paraId="0864484B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B2D" w14:textId="11FBC584" w:rsidR="00592EAB" w:rsidRPr="0010342D" w:rsidRDefault="00AD15FD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0E89F848" w14:textId="336D3C68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786749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構成・</w:t>
            </w: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配列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18F886" w14:textId="749D5DBD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■効果的な学習が行えるよう，系統的，発展的に構成されている。</w:t>
            </w:r>
          </w:p>
          <w:p w14:paraId="22BC856C" w14:textId="542211BF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■組織ごとに，適切な分量が扱われている。</w:t>
            </w:r>
          </w:p>
          <w:p w14:paraId="5C16E75F" w14:textId="3A0FB06B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B06773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中高接続に対し，適切な配慮がなされている。</w:t>
            </w:r>
          </w:p>
          <w:p w14:paraId="5E069A47" w14:textId="06EFBF28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■弾力的な取り扱いに対し，適切な配慮がなされている。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04DB93" w14:textId="239DBD2A" w:rsidR="005D7BDC" w:rsidRDefault="00791E5C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本課（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全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10</w:t>
            </w:r>
            <w:r w:rsid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課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）の題材は，日常的・社会的，文・理，国や地域</w:t>
            </w:r>
            <w:r w:rsidR="00721981">
              <w:rPr>
                <w:rFonts w:ascii="Century Gothic" w:eastAsia="游ゴシック Medium" w:hAnsi="Century Gothic" w:hint="eastAsia"/>
                <w:sz w:val="19"/>
                <w:szCs w:val="19"/>
              </w:rPr>
              <w:t>，男女や人種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のバランスを考慮した配列になっている。</w:t>
            </w:r>
          </w:p>
          <w:p w14:paraId="621A7D18" w14:textId="2E09030C" w:rsidR="00E83B6A" w:rsidRDefault="005D7BDC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・本課以外にも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英文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を味わい，楽しむための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READIN</w:t>
            </w:r>
            <w:r w:rsidR="00A107ED">
              <w:rPr>
                <w:rFonts w:ascii="Century Gothic" w:eastAsia="游ゴシック Medium" w:hAnsi="Century Gothic"/>
                <w:sz w:val="19"/>
                <w:szCs w:val="19"/>
              </w:rPr>
              <w:t>G</w:t>
            </w:r>
            <w:r>
              <w:rPr>
                <w:rFonts w:ascii="Century Gothic" w:eastAsia="游ゴシック Medium" w:hAnsi="Century Gothic"/>
                <w:sz w:val="19"/>
                <w:szCs w:val="19"/>
              </w:rPr>
              <w:t xml:space="preserve"> </w:t>
            </w:r>
            <w:r w:rsidR="00A107ED">
              <w:rPr>
                <w:rFonts w:ascii="Century Gothic" w:eastAsia="游ゴシック Medium" w:hAnsi="Century Gothic"/>
                <w:sz w:val="19"/>
                <w:szCs w:val="19"/>
              </w:rPr>
              <w:t>PASSAGE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を収録している。また，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巻末の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S</w:t>
            </w:r>
            <w:r w:rsidR="00A107ED">
              <w:rPr>
                <w:rFonts w:ascii="Century Gothic" w:eastAsia="游ゴシック Medium" w:hAnsi="Century Gothic"/>
                <w:sz w:val="19"/>
                <w:szCs w:val="19"/>
              </w:rPr>
              <w:t xml:space="preserve">kills for 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～のコーナー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では</w:t>
            </w:r>
            <w:r w:rsidR="001C6474" w:rsidRPr="001C6474">
              <w:rPr>
                <w:rFonts w:ascii="Century Gothic" w:eastAsia="游ゴシック Medium" w:hAnsi="Century Gothic"/>
                <w:sz w:val="19"/>
                <w:szCs w:val="19"/>
              </w:rPr>
              <w:t>プレゼンテーション，ディベート，ライティングにターゲットを絞った活動ができるようになっている。</w:t>
            </w:r>
          </w:p>
          <w:p w14:paraId="3E597181" w14:textId="43D57204" w:rsidR="00786749" w:rsidRPr="00364AF2" w:rsidRDefault="00364AF2" w:rsidP="00C336F1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中学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および高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1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で学習した</w:t>
            </w:r>
            <w:r w:rsidR="00A107ED">
              <w:rPr>
                <w:rFonts w:ascii="Century Gothic" w:eastAsia="游ゴシック Medium" w:hAnsi="Century Gothic" w:hint="eastAsia"/>
                <w:sz w:val="19"/>
                <w:szCs w:val="19"/>
              </w:rPr>
              <w:t>文法事項も丁寧に扱っている。また，本課に入る前に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「</w:t>
            </w:r>
            <w:r w:rsidR="001C6474">
              <w:rPr>
                <w:rFonts w:ascii="Century Gothic" w:eastAsia="游ゴシック Medium" w:hAnsi="Century Gothic" w:hint="eastAsia"/>
                <w:sz w:val="19"/>
                <w:szCs w:val="19"/>
              </w:rPr>
              <w:t>単語を関連づけて学ぼう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」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のコーナーを設け，英語学習におけるポイントを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解説して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いる。</w:t>
            </w:r>
          </w:p>
        </w:tc>
      </w:tr>
      <w:tr w:rsidR="00786749" w:rsidRPr="0010342D" w14:paraId="583BCEA4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457" w14:textId="0CDDB66D" w:rsidR="00786749" w:rsidRPr="0010342D" w:rsidRDefault="00786749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表記・表現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B7AB49" w14:textId="5FF20672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■用語・記号</w:t>
            </w:r>
            <w:r w:rsid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の表記は</w:t>
            </w: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適切か。</w:t>
            </w:r>
          </w:p>
          <w:p w14:paraId="45882F69" w14:textId="2E95FA7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■生徒の理解を助け，自学自習をしやすいよう，適切な配慮がなされているか。</w:t>
            </w:r>
          </w:p>
          <w:p w14:paraId="5A1CCED5" w14:textId="15E04591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■周辺教材およびデジタル教材に円滑に展開できるよう，工夫，配慮がなされているか。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7E7CE" w14:textId="53E5DF42" w:rsidR="002657E2" w:rsidRPr="005261BF" w:rsidRDefault="002657E2" w:rsidP="00786749">
            <w:pPr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用語・記号は１冊を通</w:t>
            </w:r>
            <w:r w:rsidR="009826DE">
              <w:rPr>
                <w:rFonts w:ascii="Century Gothic" w:eastAsia="游ゴシック Medium" w:hAnsi="Century Gothic" w:hint="eastAsia"/>
                <w:sz w:val="19"/>
                <w:szCs w:val="19"/>
              </w:rPr>
              <w:t>し</w:t>
            </w:r>
            <w:r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て統一されている。</w:t>
            </w:r>
          </w:p>
          <w:p w14:paraId="793F1B7F" w14:textId="4C35EF27" w:rsidR="005261BF" w:rsidRPr="005261BF" w:rsidRDefault="002657E2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教科書の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QR</w:t>
            </w:r>
            <w:r w:rsidR="005D7BDC">
              <w:rPr>
                <w:rFonts w:ascii="Century Gothic" w:eastAsia="游ゴシック Medium" w:hAnsi="Century Gothic" w:hint="eastAsia"/>
                <w:sz w:val="19"/>
                <w:szCs w:val="19"/>
              </w:rPr>
              <w:t>コードから本文や新語の音声を聞くことができ，自学自習をしやすいように</w:t>
            </w:r>
            <w:r w:rsidR="005261BF"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配慮されている。</w:t>
            </w:r>
          </w:p>
          <w:p w14:paraId="1E37A82F" w14:textId="226D85A8" w:rsidR="00786749" w:rsidRPr="00E83B6A" w:rsidRDefault="005261BF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2657E2"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教科書での学習を支援する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生徒用</w:t>
            </w:r>
            <w:r w:rsidR="002657E2" w:rsidRPr="005261BF">
              <w:rPr>
                <w:rFonts w:ascii="Century Gothic" w:eastAsia="游ゴシック Medium" w:hAnsi="Century Gothic" w:hint="eastAsia"/>
                <w:sz w:val="19"/>
                <w:szCs w:val="19"/>
              </w:rPr>
              <w:t>教材およびデジタル教材，指導書が豊富に用意されてお</w:t>
            </w:r>
            <w:r w:rsidR="002657E2">
              <w:rPr>
                <w:rFonts w:ascii="Century Gothic" w:eastAsia="游ゴシック Medium" w:hAnsi="Century Gothic" w:hint="eastAsia"/>
                <w:sz w:val="19"/>
                <w:szCs w:val="19"/>
              </w:rPr>
              <w:t>り，効果的な学習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・指導</w:t>
            </w:r>
            <w:r w:rsidR="002657E2">
              <w:rPr>
                <w:rFonts w:ascii="Century Gothic" w:eastAsia="游ゴシック Medium" w:hAnsi="Century Gothic" w:hint="eastAsia"/>
                <w:sz w:val="19"/>
                <w:szCs w:val="19"/>
              </w:rPr>
              <w:t>ができるよう，配慮されている。</w:t>
            </w:r>
          </w:p>
        </w:tc>
      </w:tr>
      <w:tr w:rsidR="00786749" w:rsidRPr="0010342D" w14:paraId="51FEFEA9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EE" w14:textId="368A2B97" w:rsidR="00786749" w:rsidRPr="0010342D" w:rsidRDefault="00E63EF2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印刷・製本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5FF770" w14:textId="72A2FFB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■活字および図版の大きさ，鮮明さは適切か。</w:t>
            </w:r>
          </w:p>
          <w:p w14:paraId="25A94B3D" w14:textId="1B1F212E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10342D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紙の質，製本は１年間の使用に耐えうるほど丈夫か。</w:t>
            </w:r>
          </w:p>
          <w:p w14:paraId="284136C6" w14:textId="2EA5CF04" w:rsidR="00786749" w:rsidRPr="0010342D" w:rsidRDefault="0010342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■環境保全および生徒の特性に対し，適切な配慮がなされているか。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DDD69C" w14:textId="7EE0C453" w:rsidR="00E83B6A" w:rsidRDefault="002657E2" w:rsidP="00786749">
            <w:pPr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・活字および図版は見やすく，鮮明である。</w:t>
            </w:r>
          </w:p>
          <w:p w14:paraId="78A89C4A" w14:textId="17ABF456" w:rsidR="007C1BD7" w:rsidRDefault="002657E2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・表紙および本文の紙は丈夫で，開きやすく，長期間の使用に耐え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う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る。</w:t>
            </w:r>
          </w:p>
          <w:p w14:paraId="68DF1A40" w14:textId="04EA785A" w:rsidR="00786749" w:rsidRPr="00E83B6A" w:rsidRDefault="002657E2" w:rsidP="005D7BDC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 w:rsidR="00C336F1" w:rsidRP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本文用紙には環境にやさしい用紙を使用し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C336F1" w:rsidRP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印刷には植物油インキを採用している。また</w:t>
            </w:r>
            <w:r w:rsid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C336F1" w:rsidRPr="00C336F1">
              <w:rPr>
                <w:rFonts w:ascii="Century Gothic" w:eastAsia="游ゴシック Medium" w:hAnsi="Century Gothic" w:hint="eastAsia"/>
                <w:sz w:val="19"/>
                <w:szCs w:val="19"/>
              </w:rPr>
              <w:t>全体のデザインとフォントはユニバーサルデザインに配慮している。</w:t>
            </w:r>
          </w:p>
        </w:tc>
      </w:tr>
      <w:tr w:rsidR="00786749" w:rsidRPr="0010342D" w14:paraId="3C5F8D44" w14:textId="77777777" w:rsidTr="001034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B70" w14:textId="19253FB4" w:rsidR="00786749" w:rsidRPr="0010342D" w:rsidRDefault="007B2A66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総合的な特徴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FE0CB2" w14:textId="037CA5C0" w:rsidR="00786749" w:rsidRPr="0010342D" w:rsidRDefault="0066368F" w:rsidP="0066368F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■上記の内容を総合した，本教科書の特徴</w:t>
            </w:r>
          </w:p>
        </w:tc>
        <w:tc>
          <w:tcPr>
            <w:tcW w:w="55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39EDAC" w14:textId="2FC4CA81" w:rsidR="00786749" w:rsidRPr="00E83B6A" w:rsidRDefault="00721981" w:rsidP="006C0153">
            <w:pPr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幅広いジャンルの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題材を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読み</w:t>
            </w:r>
            <w:r w:rsidR="006C0153"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7C1BD7">
              <w:rPr>
                <w:rFonts w:ascii="Century Gothic" w:eastAsia="游ゴシック Medium" w:hAnsi="Century Gothic" w:hint="eastAsia"/>
                <w:sz w:val="19"/>
                <w:szCs w:val="19"/>
              </w:rPr>
              <w:t>それ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についての自分の考えを述べたり，話し合ったりするという活動を無理なく行える構成</w:t>
            </w:r>
            <w:r w:rsidR="006C0153"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となっている。また，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活動の中で</w:t>
            </w:r>
            <w:r w:rsidR="006C0153"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文法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を身につけるなど，新学習指導要領に沿った活動を行うことができる。</w:t>
            </w:r>
          </w:p>
        </w:tc>
      </w:tr>
    </w:tbl>
    <w:p w14:paraId="2206E36D" w14:textId="77777777" w:rsidR="00786749" w:rsidRPr="00786749" w:rsidRDefault="00786749" w:rsidP="006C0153">
      <w:pPr>
        <w:spacing w:line="40" w:lineRule="exact"/>
        <w:rPr>
          <w:rFonts w:ascii="Century Gothic" w:eastAsia="游ゴシック Medium" w:hAnsi="Century Gothic"/>
          <w:sz w:val="20"/>
        </w:rPr>
      </w:pPr>
    </w:p>
    <w:sectPr w:rsidR="00786749" w:rsidRPr="00786749" w:rsidSect="00586007">
      <w:headerReference w:type="default" r:id="rId6"/>
      <w:pgSz w:w="11906" w:h="16838"/>
      <w:pgMar w:top="794" w:right="907" w:bottom="794" w:left="90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415B" w14:textId="77777777" w:rsidR="003B6FBC" w:rsidRDefault="003B6FBC" w:rsidP="004B5741">
      <w:r>
        <w:separator/>
      </w:r>
    </w:p>
  </w:endnote>
  <w:endnote w:type="continuationSeparator" w:id="0">
    <w:p w14:paraId="2D6D6AA5" w14:textId="77777777" w:rsidR="003B6FBC" w:rsidRDefault="003B6FBC" w:rsidP="004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ADC4" w14:textId="77777777" w:rsidR="003B6FBC" w:rsidRDefault="003B6FBC" w:rsidP="004B5741">
      <w:r>
        <w:separator/>
      </w:r>
    </w:p>
  </w:footnote>
  <w:footnote w:type="continuationSeparator" w:id="0">
    <w:p w14:paraId="66A44C62" w14:textId="77777777" w:rsidR="003B6FBC" w:rsidRDefault="003B6FBC" w:rsidP="004B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B474" w14:textId="047DDDA9" w:rsidR="004B5741" w:rsidRPr="004B5741" w:rsidRDefault="004B5741" w:rsidP="004B5741">
    <w:pPr>
      <w:pStyle w:val="a4"/>
      <w:wordWrap w:val="0"/>
      <w:jc w:val="right"/>
      <w:rPr>
        <w:rFonts w:ascii="Century Gothic" w:eastAsia="游ゴシック Medium" w:hAnsi="Century Gothic"/>
        <w:sz w:val="18"/>
        <w:szCs w:val="18"/>
        <w:bdr w:val="single" w:sz="4" w:space="0" w:color="auto"/>
      </w:rPr>
    </w:pP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</w:t>
    </w:r>
    <w:r w:rsidRPr="004B5741">
      <w:rPr>
        <w:rFonts w:ascii="Century Gothic" w:eastAsia="游ゴシック Medium" w:hAnsi="Century Gothic"/>
        <w:sz w:val="18"/>
        <w:szCs w:val="18"/>
        <w:bdr w:val="single" w:sz="4" w:space="0" w:color="auto"/>
      </w:rPr>
      <w:t>31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いい</w:t>
    </w:r>
    <w:proofErr w:type="gramStart"/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ずな</w:t>
    </w:r>
    <w:proofErr w:type="gramEnd"/>
    <w:r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　</w:t>
    </w:r>
    <w:r w:rsidR="007C1BD7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C</w:t>
    </w:r>
    <w:r w:rsidR="001C6474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Ⅱ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 </w:t>
    </w:r>
    <w:r w:rsidR="00C336F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231-901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49"/>
    <w:rsid w:val="0010342D"/>
    <w:rsid w:val="001C6474"/>
    <w:rsid w:val="002657E2"/>
    <w:rsid w:val="0030012B"/>
    <w:rsid w:val="00364AF2"/>
    <w:rsid w:val="003B6FBC"/>
    <w:rsid w:val="004A74F3"/>
    <w:rsid w:val="004B5741"/>
    <w:rsid w:val="005261BF"/>
    <w:rsid w:val="00586007"/>
    <w:rsid w:val="00592EAB"/>
    <w:rsid w:val="005D7BDC"/>
    <w:rsid w:val="0066368F"/>
    <w:rsid w:val="006C0153"/>
    <w:rsid w:val="00721981"/>
    <w:rsid w:val="00786749"/>
    <w:rsid w:val="00791E5C"/>
    <w:rsid w:val="007B2A66"/>
    <w:rsid w:val="007C1BD7"/>
    <w:rsid w:val="008521E6"/>
    <w:rsid w:val="009826DE"/>
    <w:rsid w:val="009A7D5C"/>
    <w:rsid w:val="00A107ED"/>
    <w:rsid w:val="00AC081A"/>
    <w:rsid w:val="00AD15FD"/>
    <w:rsid w:val="00B06773"/>
    <w:rsid w:val="00B34C72"/>
    <w:rsid w:val="00B50990"/>
    <w:rsid w:val="00B77438"/>
    <w:rsid w:val="00B8570F"/>
    <w:rsid w:val="00C336F1"/>
    <w:rsid w:val="00CA1B34"/>
    <w:rsid w:val="00D372F9"/>
    <w:rsid w:val="00E22479"/>
    <w:rsid w:val="00E63EF2"/>
    <w:rsid w:val="00E83B6A"/>
    <w:rsid w:val="00EC7FE6"/>
    <w:rsid w:val="00F141AA"/>
    <w:rsid w:val="00F9469A"/>
    <w:rsid w:val="00FA60CD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21E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41"/>
  </w:style>
  <w:style w:type="paragraph" w:styleId="a6">
    <w:name w:val="footer"/>
    <w:basedOn w:val="a"/>
    <w:link w:val="a7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2021-05-26T06:00:00Z</dcterms:created>
  <dcterms:modified xsi:type="dcterms:W3CDTF">2026-05-18T01:42:00Z</dcterms:modified>
</cp:coreProperties>
</file>