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1309" w14:textId="29C3C5CB" w:rsidR="0023352E" w:rsidRPr="00EB7FDD" w:rsidRDefault="0023352E" w:rsidP="0023352E">
      <w:pPr>
        <w:spacing w:line="560" w:lineRule="exact"/>
        <w:jc w:val="center"/>
        <w:rPr>
          <w:rFonts w:ascii="Century Gothic" w:eastAsia="游ゴシック Medium" w:hAnsi="Century Gothic"/>
          <w:b/>
          <w:bCs/>
          <w:spacing w:val="-8"/>
          <w:sz w:val="40"/>
          <w:szCs w:val="40"/>
        </w:rPr>
      </w:pPr>
      <w:r w:rsidRPr="00EB7FDD">
        <w:rPr>
          <w:rFonts w:ascii="Century Gothic" w:eastAsia="游ゴシック Medium" w:hAnsi="Century Gothic" w:hint="eastAsia"/>
          <w:b/>
          <w:bCs/>
          <w:spacing w:val="-8"/>
          <w:sz w:val="40"/>
          <w:szCs w:val="40"/>
        </w:rPr>
        <w:t>b</w:t>
      </w:r>
      <w:r w:rsidRPr="00EB7FDD">
        <w:rPr>
          <w:rFonts w:ascii="Century Gothic" w:eastAsia="游ゴシック Medium" w:hAnsi="Century Gothic"/>
          <w:b/>
          <w:bCs/>
          <w:spacing w:val="-8"/>
          <w:sz w:val="40"/>
          <w:szCs w:val="40"/>
        </w:rPr>
        <w:t>e English Logic and Expression</w:t>
      </w:r>
      <w:r>
        <w:rPr>
          <w:rFonts w:ascii="Century Gothic" w:eastAsia="游ゴシック Medium" w:hAnsi="Century Gothic" w:hint="eastAsia"/>
          <w:b/>
          <w:bCs/>
          <w:spacing w:val="-8"/>
          <w:sz w:val="40"/>
          <w:szCs w:val="40"/>
        </w:rPr>
        <w:t>Ⅱ</w:t>
      </w:r>
      <w:r w:rsidRPr="00EB7FDD">
        <w:rPr>
          <w:rFonts w:ascii="Century Gothic" w:eastAsia="游ゴシック Medium" w:hAnsi="Century Gothic" w:hint="eastAsia"/>
          <w:b/>
          <w:bCs/>
          <w:spacing w:val="-8"/>
          <w:sz w:val="40"/>
          <w:szCs w:val="40"/>
        </w:rPr>
        <w:t xml:space="preserve"> </w:t>
      </w:r>
      <w:r w:rsidRPr="00EB7FDD">
        <w:rPr>
          <w:rFonts w:ascii="Century Gothic" w:eastAsia="游ゴシック Medium" w:hAnsi="Century Gothic"/>
          <w:b/>
          <w:bCs/>
          <w:spacing w:val="-8"/>
          <w:sz w:val="40"/>
          <w:szCs w:val="40"/>
        </w:rPr>
        <w:t>Smart</w:t>
      </w:r>
      <w:r w:rsidRPr="00EB7FDD">
        <w:rPr>
          <w:rFonts w:ascii="Century Gothic" w:eastAsia="游ゴシック Medium" w:hAnsi="Century Gothic" w:hint="eastAsia"/>
          <w:b/>
          <w:bCs/>
          <w:spacing w:val="-8"/>
          <w:sz w:val="40"/>
          <w:szCs w:val="40"/>
        </w:rPr>
        <w:t xml:space="preserve"> New Edition</w:t>
      </w:r>
    </w:p>
    <w:p w14:paraId="30EB1107" w14:textId="2070CA20" w:rsidR="00786749" w:rsidRPr="004A7603" w:rsidRDefault="00786749" w:rsidP="00DA5451">
      <w:pPr>
        <w:spacing w:after="240" w:line="300" w:lineRule="exact"/>
        <w:jc w:val="center"/>
        <w:rPr>
          <w:rFonts w:ascii="Century Gothic" w:eastAsia="游ゴシック Medium" w:hAnsi="Century Gothic"/>
          <w:b/>
          <w:bCs/>
          <w:sz w:val="24"/>
          <w:szCs w:val="24"/>
        </w:rPr>
      </w:pPr>
      <w:r w:rsidRPr="004A7603">
        <w:rPr>
          <w:rFonts w:ascii="Century Gothic" w:eastAsia="游ゴシック Medium" w:hAnsi="Century Gothic" w:hint="eastAsia"/>
          <w:b/>
          <w:bCs/>
          <w:sz w:val="24"/>
          <w:szCs w:val="24"/>
        </w:rPr>
        <w:t>ご採用検討時の観点および内容の特色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2971"/>
        <w:gridCol w:w="5534"/>
      </w:tblGrid>
      <w:tr w:rsidR="00B34C72" w:rsidRPr="004A7603" w14:paraId="6297730F" w14:textId="77777777" w:rsidTr="0010342D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B0D77" w14:textId="77777777" w:rsidR="00786749" w:rsidRPr="004A7603" w:rsidRDefault="00786749" w:rsidP="00786749">
            <w:pPr>
              <w:jc w:val="center"/>
              <w:rPr>
                <w:rFonts w:ascii="Century Gothic" w:eastAsia="游ゴシック Medium" w:hAnsi="Century Gothic"/>
                <w:sz w:val="19"/>
                <w:szCs w:val="19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08345" w14:textId="335F48A4" w:rsidR="00786749" w:rsidRPr="004A7603" w:rsidRDefault="00786749" w:rsidP="00786749">
            <w:pPr>
              <w:jc w:val="center"/>
              <w:rPr>
                <w:rFonts w:ascii="Century Gothic" w:eastAsia="游ゴシック Medium" w:hAnsi="Century Gothic"/>
                <w:b/>
                <w:bCs/>
                <w:spacing w:val="32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b/>
                <w:bCs/>
                <w:spacing w:val="32"/>
                <w:sz w:val="19"/>
                <w:szCs w:val="19"/>
              </w:rPr>
              <w:t>観点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48BD6A" w14:textId="1E302AA9" w:rsidR="00786749" w:rsidRPr="004A7603" w:rsidRDefault="00786749" w:rsidP="00786749">
            <w:pPr>
              <w:jc w:val="center"/>
              <w:rPr>
                <w:rFonts w:ascii="Century Gothic" w:eastAsia="游ゴシック Medium" w:hAnsi="Century Gothic"/>
                <w:b/>
                <w:bCs/>
                <w:spacing w:val="32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b/>
                <w:bCs/>
                <w:spacing w:val="32"/>
                <w:sz w:val="19"/>
                <w:szCs w:val="19"/>
              </w:rPr>
              <w:t>内容の特色</w:t>
            </w:r>
          </w:p>
        </w:tc>
      </w:tr>
      <w:tr w:rsidR="00B34C72" w:rsidRPr="004A7603" w14:paraId="744ECFE2" w14:textId="77777777" w:rsidTr="001034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00F1" w14:textId="297FA4DC" w:rsidR="00592EAB" w:rsidRPr="004A7603" w:rsidRDefault="00592EAB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トピック・内容</w:t>
            </w:r>
          </w:p>
          <w:p w14:paraId="6725E156" w14:textId="7C5ED8BF" w:rsidR="00786749" w:rsidRPr="004A7603" w:rsidRDefault="00592EAB" w:rsidP="00592EAB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の</w:t>
            </w:r>
            <w:r w:rsidR="00B77438" w:rsidRPr="004A7603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選択・扱い</w:t>
            </w:r>
          </w:p>
        </w:tc>
        <w:tc>
          <w:tcPr>
            <w:tcW w:w="2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DC5779" w14:textId="4ACBB451" w:rsidR="00B34C72" w:rsidRPr="004A7603" w:rsidRDefault="00B34C72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■学習指導要領に基づき，論理・表現</w:t>
            </w:r>
            <w:r w:rsidR="00662388">
              <w:rPr>
                <w:rFonts w:ascii="Century Gothic" w:eastAsia="游ゴシック Medium" w:hAnsi="Century Gothic" w:hint="eastAsia"/>
                <w:sz w:val="19"/>
                <w:szCs w:val="19"/>
              </w:rPr>
              <w:t>Ⅱ</w:t>
            </w: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で到達すべき</w:t>
            </w:r>
            <w:r w:rsidR="00B77438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目標を実現するために，適切なトピック・内容を過不足なく取り上げているか。</w:t>
            </w:r>
          </w:p>
          <w:p w14:paraId="334286BF" w14:textId="09544333" w:rsidR="00786749" w:rsidRPr="004A7603" w:rsidRDefault="00B77438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■</w:t>
            </w:r>
            <w:r w:rsidR="00592EAB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生徒が学習する上で支障のないよう，基本的事項を示すなど，適切な配慮がなされているか。</w:t>
            </w:r>
          </w:p>
        </w:tc>
        <w:tc>
          <w:tcPr>
            <w:tcW w:w="5534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5E30CB" w14:textId="121214F1" w:rsidR="00B06773" w:rsidRPr="004A7603" w:rsidRDefault="00E83B6A" w:rsidP="00662388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・</w:t>
            </w:r>
            <w:r w:rsidR="00662388" w:rsidRPr="00662388">
              <w:rPr>
                <w:rFonts w:ascii="Century Gothic" w:eastAsia="游ゴシック Medium" w:hAnsi="Century Gothic" w:hint="eastAsia"/>
                <w:sz w:val="19"/>
                <w:szCs w:val="19"/>
              </w:rPr>
              <w:t>各レッスンのテーマには，「日常生活」「学校生活」といった身近なものから，「幸福」「多様性」「リーダーシップ」といった社会的なものまで</w:t>
            </w:r>
            <w:r w:rsidR="00662388">
              <w:rPr>
                <w:rFonts w:ascii="Century Gothic" w:eastAsia="游ゴシック Medium" w:hAnsi="Century Gothic" w:hint="eastAsia"/>
                <w:sz w:val="19"/>
                <w:szCs w:val="19"/>
              </w:rPr>
              <w:t>広範囲にわたり，</w:t>
            </w:r>
            <w:r w:rsidR="00791E5C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生徒が主体的に２技能３領域の活動をバランスよく行えるよう配慮されている。</w:t>
            </w:r>
          </w:p>
          <w:p w14:paraId="72C5F211" w14:textId="40C5D754" w:rsidR="00791E5C" w:rsidRPr="004A7603" w:rsidRDefault="00791E5C" w:rsidP="0066354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・１レッスンが４ページで構成されており，</w:t>
            </w:r>
            <w:r w:rsidR="00C72378">
              <w:rPr>
                <w:rFonts w:ascii="Century Gothic" w:eastAsia="游ゴシック Medium" w:hAnsi="Century Gothic" w:hint="eastAsia"/>
                <w:sz w:val="19"/>
                <w:szCs w:val="19"/>
              </w:rPr>
              <w:t>テーマに関連したパラグラフ</w:t>
            </w: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による導入，文法的な解説と言語活動，最後にそれらを統合的に用いた発展的な発信活動の順で，無理なく学習を行えるよう配慮されている。</w:t>
            </w:r>
          </w:p>
          <w:p w14:paraId="1A381373" w14:textId="0050B981" w:rsidR="00791E5C" w:rsidRPr="004A7603" w:rsidRDefault="00791E5C" w:rsidP="00791E5C">
            <w:pPr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・言語活動のために必要な型，語句が十分に示されている。</w:t>
            </w:r>
          </w:p>
        </w:tc>
      </w:tr>
      <w:tr w:rsidR="00786749" w:rsidRPr="00C72378" w14:paraId="0864484B" w14:textId="77777777" w:rsidTr="001034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CB2D" w14:textId="11FBC584" w:rsidR="00592EAB" w:rsidRPr="004A7603" w:rsidRDefault="00AD15FD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トピック・内容</w:t>
            </w:r>
          </w:p>
          <w:p w14:paraId="0E89F848" w14:textId="336D3C68" w:rsidR="00786749" w:rsidRPr="004A7603" w:rsidRDefault="00592EAB" w:rsidP="00592EAB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の</w:t>
            </w:r>
            <w:r w:rsidR="00786749" w:rsidRPr="004A7603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構成・</w:t>
            </w:r>
            <w:r w:rsidRPr="004A7603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配列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18F886" w14:textId="68C1BD56" w:rsidR="00AD15FD" w:rsidRPr="004A7603" w:rsidRDefault="00AD15FD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■効果的な学習が行えるよう，系統的，発展的に構成されているか。</w:t>
            </w:r>
          </w:p>
          <w:p w14:paraId="22BC856C" w14:textId="0790E110" w:rsidR="00AD15FD" w:rsidRPr="004A7603" w:rsidRDefault="00AD15FD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■組織ごとに，適切な分量が扱われているか。</w:t>
            </w:r>
          </w:p>
          <w:p w14:paraId="5C16E75F" w14:textId="51D14CD2" w:rsidR="00AD15FD" w:rsidRPr="004A7603" w:rsidRDefault="00AD15FD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■</w:t>
            </w:r>
            <w:r w:rsidR="00293E1F">
              <w:rPr>
                <w:rFonts w:ascii="Century Gothic" w:eastAsia="游ゴシック Medium" w:hAnsi="Century Gothic" w:hint="eastAsia"/>
                <w:sz w:val="19"/>
                <w:szCs w:val="19"/>
              </w:rPr>
              <w:t>論理・表現Ⅰからの接続に</w:t>
            </w:r>
            <w:r w:rsidR="00B06773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，適切な配慮がなされているか。</w:t>
            </w:r>
          </w:p>
          <w:p w14:paraId="5E069A47" w14:textId="1799D461" w:rsidR="00786749" w:rsidRPr="004A7603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■弾力的な取り扱いに対し，適切な配慮がなされているか。</w:t>
            </w:r>
          </w:p>
        </w:tc>
        <w:tc>
          <w:tcPr>
            <w:tcW w:w="55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21A7D18" w14:textId="32FD0FE7" w:rsidR="00E83B6A" w:rsidRPr="004A7603" w:rsidRDefault="00791E5C" w:rsidP="0066354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・全</w:t>
            </w:r>
            <w:r w:rsidR="004353A1">
              <w:rPr>
                <w:rFonts w:ascii="Century Gothic" w:eastAsia="游ゴシック Medium" w:hAnsi="Century Gothic" w:hint="eastAsia"/>
                <w:sz w:val="19"/>
                <w:szCs w:val="19"/>
              </w:rPr>
              <w:t>１５</w:t>
            </w:r>
            <w:r w:rsidR="00090CED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課</w:t>
            </w: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に加え，</w:t>
            </w:r>
            <w:r w:rsidR="00A65970">
              <w:rPr>
                <w:rFonts w:ascii="Century Gothic" w:eastAsia="游ゴシック Medium" w:hAnsi="Century Gothic"/>
                <w:sz w:val="19"/>
                <w:szCs w:val="19"/>
              </w:rPr>
              <w:t>Introduction</w:t>
            </w:r>
            <w:r w:rsidR="00A65970">
              <w:rPr>
                <w:rFonts w:ascii="Century Gothic" w:eastAsia="游ゴシック Medium" w:hAnsi="Century Gothic" w:hint="eastAsia"/>
                <w:sz w:val="19"/>
                <w:szCs w:val="19"/>
              </w:rPr>
              <w:t>では論理的に</w:t>
            </w:r>
            <w:r w:rsidR="00346C69">
              <w:rPr>
                <w:rFonts w:ascii="Century Gothic" w:eastAsia="游ゴシック Medium" w:hAnsi="Century Gothic" w:hint="eastAsia"/>
                <w:sz w:val="19"/>
                <w:szCs w:val="19"/>
              </w:rPr>
              <w:t>発信する</w:t>
            </w:r>
            <w:r w:rsidR="00A65970">
              <w:rPr>
                <w:rFonts w:ascii="Century Gothic" w:eastAsia="游ゴシック Medium" w:hAnsi="Century Gothic" w:hint="eastAsia"/>
                <w:sz w:val="19"/>
                <w:szCs w:val="19"/>
              </w:rPr>
              <w:t>ためのウォームアップを用意している。また，</w:t>
            </w:r>
            <w:r w:rsidR="00346C69">
              <w:rPr>
                <w:rFonts w:ascii="Century Gothic" w:eastAsia="游ゴシック Medium" w:hAnsi="Century Gothic" w:hint="eastAsia"/>
                <w:sz w:val="19"/>
                <w:szCs w:val="19"/>
              </w:rPr>
              <w:t>スクリプト・ライティング，</w:t>
            </w:r>
            <w:r w:rsidR="00364AF2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スピーチ，</w:t>
            </w:r>
            <w:r w:rsidR="00346C69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プレゼン，</w:t>
            </w:r>
            <w:r w:rsidR="00090CED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ディベート，ディスカッション</w:t>
            </w:r>
            <w:r w:rsidR="004353A1">
              <w:rPr>
                <w:rFonts w:ascii="Century Gothic" w:eastAsia="游ゴシック Medium" w:hAnsi="Century Gothic" w:hint="eastAsia"/>
                <w:sz w:val="19"/>
                <w:szCs w:val="19"/>
              </w:rPr>
              <w:t>，</w:t>
            </w:r>
            <w:r w:rsidR="004353A1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パラグラフ・ライティング</w:t>
            </w: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を</w:t>
            </w:r>
            <w:r w:rsidR="0030012B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扱</w:t>
            </w:r>
            <w:r w:rsidR="00090CED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い，</w:t>
            </w:r>
            <w:r w:rsidR="00364AF2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２時間の配当で</w:t>
            </w:r>
            <w:r w:rsidR="00090CED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発展的</w:t>
            </w:r>
            <w:r w:rsid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活動</w:t>
            </w:r>
            <w:r w:rsidR="00090CED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ができるように</w:t>
            </w:r>
            <w:r w:rsidR="00364AF2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配慮されている。</w:t>
            </w:r>
          </w:p>
          <w:p w14:paraId="3E597181" w14:textId="42F35C73" w:rsidR="00786749" w:rsidRPr="004A7603" w:rsidRDefault="0084042C" w:rsidP="0084042C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84042C">
              <w:rPr>
                <w:rFonts w:ascii="Century Gothic" w:eastAsia="游ゴシック Medium" w:hAnsi="Century Gothic" w:hint="eastAsia"/>
                <w:sz w:val="19"/>
                <w:szCs w:val="19"/>
              </w:rPr>
              <w:t>・各レッスンは</w:t>
            </w:r>
            <w:r w:rsidR="00293E1F">
              <w:rPr>
                <w:rFonts w:ascii="Century Gothic" w:eastAsia="游ゴシック Medium" w:hAnsi="Century Gothic" w:hint="eastAsia"/>
                <w:sz w:val="19"/>
                <w:szCs w:val="19"/>
              </w:rPr>
              <w:t>論理・表現Ⅰと同様に</w:t>
            </w:r>
            <w:r w:rsidRPr="0084042C">
              <w:rPr>
                <w:rFonts w:ascii="Century Gothic" w:eastAsia="游ゴシック Medium" w:hAnsi="Century Gothic" w:hint="eastAsia"/>
                <w:sz w:val="19"/>
                <w:szCs w:val="19"/>
              </w:rPr>
              <w:t>〈導入〉〈定着〉〈発展〉の３ユニット構成で，〈定着〉ページでは項目ごとに小さな言語活動を行えるようになっており，指導現場に応じて多様な指導計画を立てられるよう，配慮されている。</w:t>
            </w:r>
          </w:p>
        </w:tc>
      </w:tr>
      <w:tr w:rsidR="00786749" w:rsidRPr="004A7603" w14:paraId="583BCEA4" w14:textId="77777777" w:rsidTr="001034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2457" w14:textId="0CDDB66D" w:rsidR="00786749" w:rsidRPr="004A7603" w:rsidRDefault="00786749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表記・表現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B7AB49" w14:textId="5FF20672" w:rsidR="00B06773" w:rsidRPr="004A7603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■用語・記号</w:t>
            </w:r>
            <w:r w:rsidR="006C0153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の表記は</w:t>
            </w: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適切か。</w:t>
            </w:r>
          </w:p>
          <w:p w14:paraId="45882F69" w14:textId="2E95FA7F" w:rsidR="00B06773" w:rsidRPr="004A7603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■生徒の理解を助け，自学自習をしやすいよう，適切な配慮がなされているか。</w:t>
            </w:r>
          </w:p>
          <w:p w14:paraId="5A1CCED5" w14:textId="15E04591" w:rsidR="00786749" w:rsidRPr="004A7603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■周辺教材およびデジタル教材に円滑に展開できるよう，工夫，配慮がなされているか。</w:t>
            </w:r>
          </w:p>
        </w:tc>
        <w:tc>
          <w:tcPr>
            <w:tcW w:w="55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77E7CE" w14:textId="4EA66DDD" w:rsidR="002657E2" w:rsidRPr="004A7603" w:rsidRDefault="002657E2" w:rsidP="00786749">
            <w:pPr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・用語・記号は１冊を通</w:t>
            </w:r>
            <w:r w:rsidR="00A50724">
              <w:rPr>
                <w:rFonts w:ascii="Century Gothic" w:eastAsia="游ゴシック Medium" w:hAnsi="Century Gothic" w:hint="eastAsia"/>
                <w:sz w:val="19"/>
                <w:szCs w:val="19"/>
              </w:rPr>
              <w:t>し</w:t>
            </w: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て統一されている。</w:t>
            </w:r>
          </w:p>
          <w:p w14:paraId="41D30222" w14:textId="6595B490" w:rsidR="002657E2" w:rsidRPr="004A7603" w:rsidRDefault="002657E2" w:rsidP="00115D93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・</w:t>
            </w:r>
            <w:r w:rsidR="00090CED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各課の</w:t>
            </w:r>
            <w:r w:rsidR="00090CED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Interactions</w:t>
            </w:r>
            <w:r w:rsidR="00090CED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に</w:t>
            </w:r>
            <w:r w:rsidR="00090CED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Self-Check</w:t>
            </w:r>
            <w:r w:rsidR="00115D93">
              <w:rPr>
                <w:rFonts w:ascii="Century Gothic" w:eastAsia="游ゴシック Medium" w:hAnsi="Century Gothic" w:hint="eastAsia"/>
                <w:sz w:val="19"/>
                <w:szCs w:val="19"/>
              </w:rPr>
              <w:t>を，</w:t>
            </w:r>
            <w:r w:rsidR="00115D93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Active Learning</w:t>
            </w:r>
            <w:r w:rsidR="00115D93">
              <w:rPr>
                <w:rFonts w:ascii="Century Gothic" w:eastAsia="游ゴシック Medium" w:hAnsi="Century Gothic" w:hint="eastAsia"/>
                <w:sz w:val="19"/>
                <w:szCs w:val="19"/>
              </w:rPr>
              <w:t>に</w:t>
            </w:r>
            <w:r w:rsidR="00115D93">
              <w:rPr>
                <w:rFonts w:ascii="Century Gothic" w:eastAsia="游ゴシック Medium" w:hAnsi="Century Gothic" w:hint="eastAsia"/>
                <w:sz w:val="19"/>
                <w:szCs w:val="19"/>
              </w:rPr>
              <w:t>Peer Review</w:t>
            </w:r>
            <w:r w:rsidR="00090CED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を設け</w:t>
            </w:r>
            <w:r w:rsidR="00FE7156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，</w:t>
            </w:r>
            <w:r w:rsidR="00090CED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各課の学習目標の確認と達成度について</w:t>
            </w:r>
            <w:r w:rsidR="00115D93">
              <w:rPr>
                <w:rFonts w:ascii="Century Gothic" w:eastAsia="游ゴシック Medium" w:hAnsi="Century Gothic" w:hint="eastAsia"/>
                <w:sz w:val="19"/>
                <w:szCs w:val="19"/>
              </w:rPr>
              <w:t>自ら</w:t>
            </w:r>
            <w:r w:rsidR="00090CED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確認できるように配慮されている。</w:t>
            </w:r>
          </w:p>
          <w:p w14:paraId="1E37A82F" w14:textId="6DDA3512" w:rsidR="00786749" w:rsidRPr="004A7603" w:rsidRDefault="002657E2" w:rsidP="0066354D">
            <w:pPr>
              <w:ind w:left="190" w:hangingChars="100" w:hanging="190"/>
              <w:rPr>
                <w:rFonts w:ascii="Century Gothic" w:eastAsia="游ゴシック Medium" w:hAnsi="Century Gothic"/>
                <w:sz w:val="16"/>
                <w:szCs w:val="16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・教科書での学習を支援する周辺教材およびデジタル教材，指導書が豊富に用意されており，効果的な指導，学習ができるよう，配慮されている。</w:t>
            </w:r>
          </w:p>
        </w:tc>
      </w:tr>
      <w:tr w:rsidR="00786749" w:rsidRPr="004A7603" w14:paraId="51FEFEA9" w14:textId="77777777" w:rsidTr="001034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2EE" w14:textId="368A2B97" w:rsidR="00786749" w:rsidRPr="004A7603" w:rsidRDefault="00E63EF2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印刷・製本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5FF770" w14:textId="72A2FFBF" w:rsidR="00B06773" w:rsidRPr="004A7603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■活字および図版の大きさ，鮮明さは適切か。</w:t>
            </w:r>
          </w:p>
          <w:p w14:paraId="25A94B3D" w14:textId="1B1F212E" w:rsidR="00B06773" w:rsidRPr="004A7603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■</w:t>
            </w:r>
            <w:r w:rsidR="0010342D"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紙の質，製本は１年間の使用に耐えうるほど丈夫か。</w:t>
            </w:r>
          </w:p>
          <w:p w14:paraId="284136C6" w14:textId="2EA5CF04" w:rsidR="00786749" w:rsidRPr="004A7603" w:rsidRDefault="0010342D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■環境保全および生徒の特性に対し，適切な配慮がなされているか。</w:t>
            </w:r>
          </w:p>
        </w:tc>
        <w:tc>
          <w:tcPr>
            <w:tcW w:w="55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DDD69C" w14:textId="7EE0C453" w:rsidR="00E83B6A" w:rsidRPr="004A7603" w:rsidRDefault="002657E2" w:rsidP="00786749">
            <w:pPr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・活字および図版は見やすく，鮮明である。</w:t>
            </w:r>
          </w:p>
          <w:p w14:paraId="0FBC87E5" w14:textId="683D8630" w:rsidR="002657E2" w:rsidRPr="004A7603" w:rsidRDefault="002657E2" w:rsidP="0066354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・表紙および本文の紙は丈夫で，開きやすく，長期間の使用に耐え</w:t>
            </w:r>
            <w:r w:rsidR="0066354D">
              <w:rPr>
                <w:rFonts w:ascii="Century Gothic" w:eastAsia="游ゴシック Medium" w:hAnsi="Century Gothic" w:hint="eastAsia"/>
                <w:sz w:val="19"/>
                <w:szCs w:val="19"/>
              </w:rPr>
              <w:t>う</w:t>
            </w: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る。</w:t>
            </w:r>
          </w:p>
          <w:p w14:paraId="68DF1A40" w14:textId="64A290F7" w:rsidR="00786749" w:rsidRPr="004A7603" w:rsidRDefault="0066354D" w:rsidP="0066354D">
            <w:pPr>
              <w:ind w:left="190" w:hangingChars="100" w:hanging="190"/>
              <w:rPr>
                <w:rFonts w:ascii="Century Gothic" w:eastAsia="游ゴシック Medium" w:hAnsi="Century Gothic"/>
                <w:sz w:val="16"/>
                <w:szCs w:val="16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・本文用紙には環境にやさしい用紙を，印刷には植物油インキを使用している。また，本文にはユニバーサルデザイン書体を使用している。</w:t>
            </w:r>
          </w:p>
        </w:tc>
      </w:tr>
      <w:tr w:rsidR="00786749" w:rsidRPr="0010342D" w14:paraId="3C5F8D44" w14:textId="77777777" w:rsidTr="001034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8B70" w14:textId="19253FB4" w:rsidR="00786749" w:rsidRPr="004A7603" w:rsidRDefault="007B2A66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総合的な特徴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FE0CB2" w14:textId="037CA5C0" w:rsidR="00786749" w:rsidRPr="004A7603" w:rsidRDefault="0066368F" w:rsidP="0066368F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■上記の内容を総合した，本教科書の特徴</w:t>
            </w:r>
          </w:p>
        </w:tc>
        <w:tc>
          <w:tcPr>
            <w:tcW w:w="55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39EDAC" w14:textId="331C99A3" w:rsidR="00786749" w:rsidRPr="00E83B6A" w:rsidRDefault="006C0153" w:rsidP="006C0153">
            <w:pPr>
              <w:rPr>
                <w:rFonts w:ascii="Century Gothic" w:eastAsia="游ゴシック Medium" w:hAnsi="Century Gothic"/>
                <w:sz w:val="16"/>
                <w:szCs w:val="16"/>
              </w:rPr>
            </w:pP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身近なトピック</w:t>
            </w:r>
            <w:r w:rsidR="003C5B88">
              <w:rPr>
                <w:rFonts w:ascii="Century Gothic" w:eastAsia="游ゴシック Medium" w:hAnsi="Century Gothic" w:hint="eastAsia"/>
                <w:sz w:val="19"/>
                <w:szCs w:val="19"/>
              </w:rPr>
              <w:t>から社会的な話題まで</w:t>
            </w:r>
            <w:r w:rsidRPr="004A7603">
              <w:rPr>
                <w:rFonts w:ascii="Century Gothic" w:eastAsia="游ゴシック Medium" w:hAnsi="Century Gothic" w:hint="eastAsia"/>
                <w:sz w:val="19"/>
                <w:szCs w:val="19"/>
              </w:rPr>
              <w:t>を広く扱い，３領域の活動をバランスよく行うことができる構成となっている。また，文法の解説，活動の手順，言語材料がわかりやすく示されており，生徒の自由な発信活動を支援しやすい。</w:t>
            </w:r>
          </w:p>
        </w:tc>
      </w:tr>
    </w:tbl>
    <w:p w14:paraId="2206E36D" w14:textId="77777777" w:rsidR="00786749" w:rsidRPr="00786749" w:rsidRDefault="00786749" w:rsidP="006C0153">
      <w:pPr>
        <w:spacing w:line="40" w:lineRule="exact"/>
        <w:rPr>
          <w:rFonts w:ascii="Century Gothic" w:eastAsia="游ゴシック Medium" w:hAnsi="Century Gothic"/>
          <w:sz w:val="20"/>
        </w:rPr>
      </w:pPr>
    </w:p>
    <w:sectPr w:rsidR="00786749" w:rsidRPr="00786749" w:rsidSect="004B57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907" w:bottom="907" w:left="90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E339" w14:textId="77777777" w:rsidR="00274D26" w:rsidRDefault="00274D26" w:rsidP="004B5741">
      <w:r>
        <w:separator/>
      </w:r>
    </w:p>
  </w:endnote>
  <w:endnote w:type="continuationSeparator" w:id="0">
    <w:p w14:paraId="3DC92CEB" w14:textId="77777777" w:rsidR="00274D26" w:rsidRDefault="00274D26" w:rsidP="004B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4B72" w14:textId="77777777" w:rsidR="00235E84" w:rsidRDefault="00235E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2A37" w14:textId="77777777" w:rsidR="00235E84" w:rsidRDefault="00235E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360B" w14:textId="77777777" w:rsidR="00235E84" w:rsidRDefault="00235E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7E009" w14:textId="77777777" w:rsidR="00274D26" w:rsidRDefault="00274D26" w:rsidP="004B5741">
      <w:r>
        <w:separator/>
      </w:r>
    </w:p>
  </w:footnote>
  <w:footnote w:type="continuationSeparator" w:id="0">
    <w:p w14:paraId="368CF3D8" w14:textId="77777777" w:rsidR="00274D26" w:rsidRDefault="00274D26" w:rsidP="004B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CA6D" w14:textId="77777777" w:rsidR="00235E84" w:rsidRDefault="00235E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B474" w14:textId="385E0CBA" w:rsidR="004B5741" w:rsidRPr="004B5741" w:rsidRDefault="004B5741" w:rsidP="004B5741">
    <w:pPr>
      <w:pStyle w:val="a4"/>
      <w:wordWrap w:val="0"/>
      <w:jc w:val="right"/>
      <w:rPr>
        <w:rFonts w:ascii="Century Gothic" w:eastAsia="游ゴシック Medium" w:hAnsi="Century Gothic"/>
        <w:sz w:val="18"/>
        <w:szCs w:val="18"/>
        <w:bdr w:val="single" w:sz="4" w:space="0" w:color="auto"/>
      </w:rPr>
    </w:pPr>
    <w:r w:rsidRPr="004B574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2</w:t>
    </w:r>
    <w:r w:rsidRPr="004B5741">
      <w:rPr>
        <w:rFonts w:ascii="Century Gothic" w:eastAsia="游ゴシック Medium" w:hAnsi="Century Gothic"/>
        <w:sz w:val="18"/>
        <w:szCs w:val="18"/>
        <w:bdr w:val="single" w:sz="4" w:space="0" w:color="auto"/>
      </w:rPr>
      <w:t>31</w:t>
    </w:r>
    <w:r w:rsidRPr="004B574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いいずな</w:t>
    </w:r>
    <w:r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 xml:space="preserve">　</w:t>
    </w:r>
    <w:r w:rsidRPr="004B574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論</w:t>
    </w:r>
    <w:r w:rsidR="00662388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Ⅱ</w:t>
    </w:r>
    <w:r w:rsidRPr="004B574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 xml:space="preserve"> </w:t>
    </w:r>
    <w:r w:rsidR="00235E84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231-903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EECC" w14:textId="77777777" w:rsidR="00235E84" w:rsidRDefault="00235E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49"/>
    <w:rsid w:val="00090CED"/>
    <w:rsid w:val="000A2535"/>
    <w:rsid w:val="0010342D"/>
    <w:rsid w:val="00115D93"/>
    <w:rsid w:val="001B5258"/>
    <w:rsid w:val="001D5134"/>
    <w:rsid w:val="0023352E"/>
    <w:rsid w:val="00235E84"/>
    <w:rsid w:val="002657E2"/>
    <w:rsid w:val="00274D26"/>
    <w:rsid w:val="00293E1F"/>
    <w:rsid w:val="0030012B"/>
    <w:rsid w:val="00346C69"/>
    <w:rsid w:val="00364AF2"/>
    <w:rsid w:val="003C5B88"/>
    <w:rsid w:val="004353A1"/>
    <w:rsid w:val="004A74F3"/>
    <w:rsid w:val="004A7603"/>
    <w:rsid w:val="004B5741"/>
    <w:rsid w:val="00523809"/>
    <w:rsid w:val="00592EAB"/>
    <w:rsid w:val="005B0A6F"/>
    <w:rsid w:val="00662388"/>
    <w:rsid w:val="0066354D"/>
    <w:rsid w:val="0066368F"/>
    <w:rsid w:val="006C0153"/>
    <w:rsid w:val="0078558B"/>
    <w:rsid w:val="00786749"/>
    <w:rsid w:val="00791E5C"/>
    <w:rsid w:val="007B2A66"/>
    <w:rsid w:val="0084042C"/>
    <w:rsid w:val="009A7D5C"/>
    <w:rsid w:val="00A50724"/>
    <w:rsid w:val="00A65970"/>
    <w:rsid w:val="00A95B62"/>
    <w:rsid w:val="00AD15FD"/>
    <w:rsid w:val="00B06773"/>
    <w:rsid w:val="00B17DAC"/>
    <w:rsid w:val="00B34C72"/>
    <w:rsid w:val="00B77438"/>
    <w:rsid w:val="00B81EBA"/>
    <w:rsid w:val="00C72378"/>
    <w:rsid w:val="00CC0EF0"/>
    <w:rsid w:val="00D21E0D"/>
    <w:rsid w:val="00D2428F"/>
    <w:rsid w:val="00DA5451"/>
    <w:rsid w:val="00DE216D"/>
    <w:rsid w:val="00E075F4"/>
    <w:rsid w:val="00E22479"/>
    <w:rsid w:val="00E63EF2"/>
    <w:rsid w:val="00E83B6A"/>
    <w:rsid w:val="00FE7156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21E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741"/>
  </w:style>
  <w:style w:type="paragraph" w:styleId="a6">
    <w:name w:val="footer"/>
    <w:basedOn w:val="a"/>
    <w:link w:val="a7"/>
    <w:uiPriority w:val="99"/>
    <w:unhideWhenUsed/>
    <w:rsid w:val="004B5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2021-05-26T05:59:00Z</dcterms:created>
  <dcterms:modified xsi:type="dcterms:W3CDTF">2026-04-16T04:50:00Z</dcterms:modified>
</cp:coreProperties>
</file>